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A81D" w14:textId="77777777" w:rsidR="00EB23BE" w:rsidRPr="000F2F72" w:rsidRDefault="00EB23BE" w:rsidP="00EB23BE">
      <w:pPr>
        <w:jc w:val="center"/>
        <w:rPr>
          <w:rFonts w:ascii="Calibri" w:hAnsi="Calibri"/>
          <w:b/>
          <w:u w:val="single"/>
        </w:rPr>
      </w:pPr>
      <w:r>
        <w:rPr>
          <w:rFonts w:ascii="Calibri" w:hAnsi="Calibri"/>
          <w:b/>
          <w:u w:val="single"/>
        </w:rPr>
        <w:t xml:space="preserve">Using the </w:t>
      </w:r>
      <w:proofErr w:type="spellStart"/>
      <w:r>
        <w:rPr>
          <w:rFonts w:ascii="Calibri" w:hAnsi="Calibri"/>
          <w:b/>
          <w:u w:val="single"/>
        </w:rPr>
        <w:t>ePledge</w:t>
      </w:r>
      <w:proofErr w:type="spellEnd"/>
      <w:r>
        <w:rPr>
          <w:rFonts w:ascii="Calibri" w:hAnsi="Calibri"/>
          <w:b/>
          <w:u w:val="single"/>
        </w:rPr>
        <w:t xml:space="preserve"> Administrator Portal</w:t>
      </w:r>
    </w:p>
    <w:p w14:paraId="2DBB2A44" w14:textId="77777777" w:rsidR="00EB23BE" w:rsidRPr="000F2F72" w:rsidRDefault="00EB23BE" w:rsidP="00EB23BE">
      <w:pPr>
        <w:rPr>
          <w:rFonts w:ascii="Calibri" w:hAnsi="Calibri"/>
          <w:b/>
          <w:u w:val="single"/>
        </w:rPr>
      </w:pPr>
    </w:p>
    <w:p w14:paraId="0051425B" w14:textId="77777777" w:rsidR="00EB23BE" w:rsidRDefault="00EB23BE" w:rsidP="00EB23BE">
      <w:pPr>
        <w:rPr>
          <w:rFonts w:ascii="Calibri" w:hAnsi="Calibri"/>
          <w:b/>
          <w:color w:val="0000FF"/>
        </w:rPr>
      </w:pPr>
      <w:r>
        <w:rPr>
          <w:rFonts w:ascii="Calibri" w:hAnsi="Calibri"/>
          <w:b/>
          <w:color w:val="0000FF"/>
        </w:rPr>
        <w:t>Campaign Management</w:t>
      </w:r>
      <w:r w:rsidRPr="000F2F72">
        <w:rPr>
          <w:rFonts w:ascii="Calibri" w:hAnsi="Calibri"/>
          <w:b/>
          <w:color w:val="0000FF"/>
        </w:rPr>
        <w:t>:</w:t>
      </w:r>
    </w:p>
    <w:p w14:paraId="486B53C2" w14:textId="77777777" w:rsidR="00EB23BE" w:rsidRDefault="00EB23BE" w:rsidP="00EB23BE">
      <w:pPr>
        <w:rPr>
          <w:rFonts w:ascii="Calibri" w:hAnsi="Calibri"/>
          <w:bCs/>
          <w:sz w:val="22"/>
          <w:szCs w:val="22"/>
        </w:rPr>
      </w:pPr>
    </w:p>
    <w:p w14:paraId="587903E1" w14:textId="77777777" w:rsidR="00EB23BE" w:rsidRDefault="00EB23BE" w:rsidP="00EB23BE">
      <w:pPr>
        <w:rPr>
          <w:rFonts w:ascii="Calibri" w:hAnsi="Calibri"/>
          <w:b/>
          <w:color w:val="0000FF"/>
        </w:rPr>
      </w:pPr>
      <w:r>
        <w:rPr>
          <w:rFonts w:ascii="Calibri" w:hAnsi="Calibri"/>
          <w:bCs/>
          <w:sz w:val="22"/>
          <w:szCs w:val="22"/>
        </w:rPr>
        <w:t xml:space="preserve">The </w:t>
      </w:r>
      <w:r w:rsidRPr="001560BA">
        <w:rPr>
          <w:rFonts w:ascii="Calibri" w:hAnsi="Calibri"/>
          <w:bCs/>
          <w:i/>
          <w:iCs/>
          <w:sz w:val="22"/>
          <w:szCs w:val="22"/>
        </w:rPr>
        <w:t>CAMPAIGN MANAGEMENT</w:t>
      </w:r>
      <w:r>
        <w:rPr>
          <w:rFonts w:ascii="Calibri" w:hAnsi="Calibri"/>
          <w:bCs/>
          <w:sz w:val="22"/>
          <w:szCs w:val="22"/>
        </w:rPr>
        <w:t xml:space="preserve"> tab can provide a brief snapshot of campaign information (or view in the dashboard---see REPORTS), and also allows users to attach documents such as email messaging and updated logos to be used during their campaign.</w:t>
      </w:r>
    </w:p>
    <w:p w14:paraId="3596C520" w14:textId="77777777" w:rsidR="00EB23BE" w:rsidRDefault="00EB23BE" w:rsidP="00EB23BE">
      <w:pPr>
        <w:rPr>
          <w:rFonts w:ascii="Calibri" w:hAnsi="Calibri"/>
          <w:b/>
          <w:color w:val="0000FF"/>
        </w:rPr>
      </w:pPr>
    </w:p>
    <w:p w14:paraId="74153629" w14:textId="77777777" w:rsidR="00EB23BE" w:rsidRDefault="00EB23BE" w:rsidP="00EB23BE">
      <w:pPr>
        <w:rPr>
          <w:rFonts w:ascii="Calibri" w:hAnsi="Calibri"/>
          <w:b/>
          <w:color w:val="0000FF"/>
        </w:rPr>
      </w:pPr>
      <w:r>
        <w:rPr>
          <w:rFonts w:ascii="Calibri" w:hAnsi="Calibri"/>
          <w:b/>
          <w:noProof/>
          <w:color w:val="0000FF"/>
        </w:rPr>
        <w:drawing>
          <wp:inline distT="0" distB="0" distL="0" distR="0" wp14:anchorId="0AD1994B" wp14:editId="25F293E3">
            <wp:extent cx="5936615" cy="224409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2244090"/>
                    </a:xfrm>
                    <a:prstGeom prst="rect">
                      <a:avLst/>
                    </a:prstGeom>
                    <a:noFill/>
                    <a:ln>
                      <a:noFill/>
                    </a:ln>
                  </pic:spPr>
                </pic:pic>
              </a:graphicData>
            </a:graphic>
          </wp:inline>
        </w:drawing>
      </w:r>
    </w:p>
    <w:p w14:paraId="6CCBC56B" w14:textId="77777777" w:rsidR="00EB23BE" w:rsidRDefault="00EB23BE" w:rsidP="00EB23BE">
      <w:pPr>
        <w:rPr>
          <w:rFonts w:ascii="Calibri" w:hAnsi="Calibri"/>
          <w:b/>
          <w:color w:val="0000FF"/>
        </w:rPr>
      </w:pPr>
    </w:p>
    <w:p w14:paraId="606183E5" w14:textId="77777777" w:rsidR="00EB23BE" w:rsidRPr="000F2F72" w:rsidRDefault="00EB23BE" w:rsidP="00EB23BE">
      <w:pPr>
        <w:rPr>
          <w:rFonts w:ascii="Calibri" w:hAnsi="Calibri"/>
          <w:b/>
          <w:color w:val="0000FF"/>
        </w:rPr>
      </w:pPr>
      <w:r w:rsidRPr="000F2F72">
        <w:rPr>
          <w:rFonts w:ascii="Calibri" w:hAnsi="Calibri"/>
          <w:b/>
          <w:color w:val="0000FF"/>
        </w:rPr>
        <w:t>E</w:t>
      </w:r>
      <w:r>
        <w:rPr>
          <w:rFonts w:ascii="Calibri" w:hAnsi="Calibri"/>
          <w:b/>
          <w:color w:val="0000FF"/>
        </w:rPr>
        <w:t>mployee Management</w:t>
      </w:r>
      <w:r w:rsidRPr="000F2F72">
        <w:rPr>
          <w:rFonts w:ascii="Calibri" w:hAnsi="Calibri"/>
          <w:b/>
          <w:color w:val="0000FF"/>
        </w:rPr>
        <w:t>:</w:t>
      </w:r>
    </w:p>
    <w:p w14:paraId="180DC2EF" w14:textId="77777777" w:rsidR="00EB23BE" w:rsidRPr="000F2F72" w:rsidRDefault="00EB23BE" w:rsidP="00EB23BE">
      <w:pPr>
        <w:rPr>
          <w:rFonts w:ascii="Calibri" w:hAnsi="Calibri"/>
          <w:b/>
          <w:color w:val="0000FF"/>
        </w:rPr>
      </w:pPr>
    </w:p>
    <w:p w14:paraId="62FBFD06" w14:textId="77777777" w:rsidR="00EB23BE" w:rsidRDefault="00EB23BE" w:rsidP="00EB23BE">
      <w:pPr>
        <w:rPr>
          <w:rFonts w:ascii="Calibri" w:hAnsi="Calibri"/>
          <w:bCs/>
          <w:sz w:val="22"/>
          <w:szCs w:val="22"/>
        </w:rPr>
      </w:pPr>
      <w:r>
        <w:rPr>
          <w:rFonts w:ascii="Calibri" w:hAnsi="Calibri"/>
          <w:bCs/>
          <w:sz w:val="22"/>
          <w:szCs w:val="22"/>
        </w:rPr>
        <w:t xml:space="preserve">Under the EMPLOYEE MGT tab, the </w:t>
      </w:r>
      <w:r w:rsidRPr="00D84853">
        <w:rPr>
          <w:rFonts w:ascii="Calibri" w:hAnsi="Calibri"/>
          <w:bCs/>
          <w:i/>
          <w:iCs/>
          <w:sz w:val="22"/>
          <w:szCs w:val="22"/>
        </w:rPr>
        <w:t>EMPLOYEE LIST</w:t>
      </w:r>
      <w:r>
        <w:rPr>
          <w:rFonts w:ascii="Calibri" w:hAnsi="Calibri"/>
          <w:bCs/>
          <w:sz w:val="22"/>
          <w:szCs w:val="22"/>
        </w:rPr>
        <w:t xml:space="preserve"> tab will allow you to search for an existing employee, and ADD employees. Please </w:t>
      </w:r>
      <w:r w:rsidRPr="00BF0A65">
        <w:rPr>
          <w:rFonts w:ascii="Calibri" w:hAnsi="Calibri"/>
          <w:b/>
          <w:sz w:val="22"/>
          <w:szCs w:val="22"/>
        </w:rPr>
        <w:t>DO NOT ADD new</w:t>
      </w:r>
      <w:r>
        <w:rPr>
          <w:rFonts w:ascii="Calibri" w:hAnsi="Calibri"/>
          <w:bCs/>
          <w:sz w:val="22"/>
          <w:szCs w:val="22"/>
        </w:rPr>
        <w:t xml:space="preserve"> employees here. Contact </w:t>
      </w:r>
      <w:hyperlink r:id="rId9" w:history="1">
        <w:r w:rsidRPr="006559B0">
          <w:rPr>
            <w:rStyle w:val="Hyperlink"/>
            <w:rFonts w:ascii="Calibri" w:hAnsi="Calibri"/>
            <w:bCs/>
            <w:sz w:val="22"/>
            <w:szCs w:val="22"/>
          </w:rPr>
          <w:t>donor.services@unitedwaytoledo.org</w:t>
        </w:r>
      </w:hyperlink>
      <w:r>
        <w:rPr>
          <w:rFonts w:ascii="Calibri" w:hAnsi="Calibri"/>
          <w:bCs/>
          <w:sz w:val="22"/>
          <w:szCs w:val="22"/>
        </w:rPr>
        <w:t xml:space="preserve"> to add a new employee, as additional programming is required to properly set up an employee for </w:t>
      </w:r>
      <w:proofErr w:type="spellStart"/>
      <w:r>
        <w:rPr>
          <w:rFonts w:ascii="Calibri" w:hAnsi="Calibri"/>
          <w:bCs/>
          <w:sz w:val="22"/>
          <w:szCs w:val="22"/>
        </w:rPr>
        <w:t>ePledge</w:t>
      </w:r>
      <w:proofErr w:type="spellEnd"/>
      <w:r>
        <w:rPr>
          <w:rFonts w:ascii="Calibri" w:hAnsi="Calibri"/>
          <w:bCs/>
          <w:sz w:val="22"/>
          <w:szCs w:val="22"/>
        </w:rPr>
        <w:t xml:space="preserve">. </w:t>
      </w:r>
    </w:p>
    <w:p w14:paraId="7826C3D7" w14:textId="77777777" w:rsidR="00EB23BE" w:rsidRDefault="00EB23BE" w:rsidP="00EB23BE">
      <w:pPr>
        <w:rPr>
          <w:rFonts w:ascii="Calibri" w:hAnsi="Calibri"/>
          <w:bCs/>
          <w:sz w:val="22"/>
          <w:szCs w:val="22"/>
        </w:rPr>
      </w:pPr>
    </w:p>
    <w:p w14:paraId="02340832" w14:textId="77777777" w:rsidR="00EB23BE" w:rsidRDefault="00EB23BE" w:rsidP="00EB23BE">
      <w:pPr>
        <w:rPr>
          <w:rFonts w:ascii="Calibri" w:hAnsi="Calibri"/>
          <w:b/>
        </w:rPr>
      </w:pPr>
      <w:r>
        <w:rPr>
          <w:rFonts w:ascii="Calibri" w:hAnsi="Calibri"/>
          <w:b/>
          <w:noProof/>
        </w:rPr>
        <w:drawing>
          <wp:inline distT="0" distB="0" distL="0" distR="0" wp14:anchorId="6620236F" wp14:editId="79FC4D76">
            <wp:extent cx="5936615" cy="19697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1969770"/>
                    </a:xfrm>
                    <a:prstGeom prst="rect">
                      <a:avLst/>
                    </a:prstGeom>
                    <a:noFill/>
                    <a:ln>
                      <a:noFill/>
                    </a:ln>
                  </pic:spPr>
                </pic:pic>
              </a:graphicData>
            </a:graphic>
          </wp:inline>
        </w:drawing>
      </w:r>
    </w:p>
    <w:p w14:paraId="212B07A9" w14:textId="77777777" w:rsidR="00EB23BE" w:rsidRPr="003667A2" w:rsidRDefault="00EB23BE" w:rsidP="00EB23BE">
      <w:pPr>
        <w:rPr>
          <w:rFonts w:ascii="Calibri" w:hAnsi="Calibri"/>
          <w:bCs/>
          <w:sz w:val="22"/>
          <w:szCs w:val="22"/>
        </w:rPr>
      </w:pPr>
      <w:r>
        <w:rPr>
          <w:rFonts w:ascii="Calibri" w:hAnsi="Calibri"/>
          <w:bCs/>
          <w:sz w:val="22"/>
          <w:szCs w:val="22"/>
        </w:rPr>
        <w:t xml:space="preserve">The </w:t>
      </w:r>
      <w:r w:rsidRPr="00BF0A65">
        <w:rPr>
          <w:rFonts w:ascii="Calibri" w:hAnsi="Calibri"/>
          <w:bCs/>
          <w:i/>
          <w:iCs/>
          <w:sz w:val="22"/>
          <w:szCs w:val="22"/>
        </w:rPr>
        <w:t>ADD A PLEDGE</w:t>
      </w:r>
      <w:r>
        <w:rPr>
          <w:rFonts w:ascii="Calibri" w:hAnsi="Calibri"/>
          <w:bCs/>
          <w:sz w:val="22"/>
          <w:szCs w:val="22"/>
        </w:rPr>
        <w:t xml:space="preserve"> tab can be used to SEARCH an individual record. If an employee is missing their confirmation email, and wants to know if their pledge was recorded, the campaign manager can use this tab to see the status of their pledge. Retrieve the individual’s record here, and their pledge can be viewed to see if it has been completed, and resend their confirmation email if needed. If an employee needs assistance pledging, you could also enter a pledge for them as an administrator, or enter pledge cards from this tab. </w:t>
      </w:r>
    </w:p>
    <w:p w14:paraId="013C5025" w14:textId="77777777" w:rsidR="0099048B" w:rsidRPr="000F2F72" w:rsidRDefault="0099048B" w:rsidP="002E7628">
      <w:pPr>
        <w:rPr>
          <w:rFonts w:ascii="Calibri" w:hAnsi="Calibri"/>
          <w:b/>
          <w:u w:val="single"/>
        </w:rPr>
      </w:pPr>
    </w:p>
    <w:p w14:paraId="1EDDAE66" w14:textId="77777777" w:rsidR="00EB23BE" w:rsidRDefault="00EB23BE" w:rsidP="0099048B">
      <w:pPr>
        <w:rPr>
          <w:rFonts w:ascii="Calibri" w:hAnsi="Calibri"/>
          <w:b/>
          <w:color w:val="0000FF"/>
        </w:rPr>
      </w:pPr>
    </w:p>
    <w:p w14:paraId="01DB4C39" w14:textId="6955E276" w:rsidR="001B1136" w:rsidRPr="000F2F72" w:rsidRDefault="001B1136" w:rsidP="0099048B">
      <w:pPr>
        <w:rPr>
          <w:rFonts w:ascii="Calibri" w:hAnsi="Calibri"/>
          <w:b/>
          <w:color w:val="0000FF"/>
        </w:rPr>
      </w:pPr>
      <w:r w:rsidRPr="000F2F72">
        <w:rPr>
          <w:rFonts w:ascii="Calibri" w:hAnsi="Calibri"/>
          <w:b/>
          <w:color w:val="0000FF"/>
        </w:rPr>
        <w:lastRenderedPageBreak/>
        <w:t>E-Pledge Reports:</w:t>
      </w:r>
    </w:p>
    <w:p w14:paraId="5507E3B3" w14:textId="704F9EEE" w:rsidR="001B1136" w:rsidRPr="0028707B" w:rsidRDefault="00EF69F2" w:rsidP="0099048B">
      <w:pPr>
        <w:rPr>
          <w:rFonts w:ascii="Calibri" w:hAnsi="Calibri"/>
          <w:sz w:val="22"/>
          <w:szCs w:val="22"/>
        </w:rPr>
      </w:pPr>
      <w:r w:rsidRPr="0028707B">
        <w:rPr>
          <w:rFonts w:ascii="Calibri" w:hAnsi="Calibri"/>
          <w:sz w:val="22"/>
          <w:szCs w:val="22"/>
        </w:rPr>
        <w:t xml:space="preserve">The Campaign Manager and </w:t>
      </w:r>
      <w:r w:rsidR="001B1136" w:rsidRPr="0028707B">
        <w:rPr>
          <w:rFonts w:ascii="Calibri" w:hAnsi="Calibri"/>
          <w:sz w:val="22"/>
          <w:szCs w:val="22"/>
        </w:rPr>
        <w:t xml:space="preserve">RD </w:t>
      </w:r>
      <w:r w:rsidRPr="0028707B">
        <w:rPr>
          <w:rFonts w:ascii="Calibri" w:hAnsi="Calibri"/>
          <w:sz w:val="22"/>
          <w:szCs w:val="22"/>
        </w:rPr>
        <w:t>will have</w:t>
      </w:r>
      <w:r w:rsidR="001B1136" w:rsidRPr="0028707B">
        <w:rPr>
          <w:rFonts w:ascii="Calibri" w:hAnsi="Calibri"/>
          <w:sz w:val="22"/>
          <w:szCs w:val="22"/>
        </w:rPr>
        <w:t xml:space="preserve"> access to all the ePledge reports</w:t>
      </w:r>
      <w:r w:rsidRPr="0028707B">
        <w:rPr>
          <w:rFonts w:ascii="Calibri" w:hAnsi="Calibri"/>
          <w:sz w:val="22"/>
          <w:szCs w:val="22"/>
        </w:rPr>
        <w:t xml:space="preserve">. </w:t>
      </w:r>
    </w:p>
    <w:p w14:paraId="2AB729D3" w14:textId="77777777" w:rsidR="00EF69F2" w:rsidRPr="000F2F72" w:rsidRDefault="00EF69F2" w:rsidP="0099048B">
      <w:pPr>
        <w:rPr>
          <w:rFonts w:ascii="Calibri" w:hAnsi="Calibri"/>
        </w:rPr>
      </w:pPr>
    </w:p>
    <w:p w14:paraId="324BCE32" w14:textId="77777777" w:rsidR="0028707B" w:rsidRPr="000F2F72" w:rsidRDefault="0028707B" w:rsidP="0028707B">
      <w:pPr>
        <w:pStyle w:val="ListParagraph"/>
        <w:numPr>
          <w:ilvl w:val="0"/>
          <w:numId w:val="16"/>
        </w:numPr>
        <w:rPr>
          <w:rFonts w:eastAsia="Times New Roman"/>
          <w:sz w:val="24"/>
          <w:szCs w:val="24"/>
        </w:rPr>
      </w:pPr>
      <w:r>
        <w:rPr>
          <w:rFonts w:eastAsia="Times New Roman"/>
          <w:b/>
          <w:sz w:val="24"/>
          <w:szCs w:val="24"/>
        </w:rPr>
        <w:t>CASH REPORT</w:t>
      </w:r>
      <w:r w:rsidRPr="00607317">
        <w:rPr>
          <w:rFonts w:eastAsia="Times New Roman"/>
          <w:b/>
        </w:rPr>
        <w:t>:</w:t>
      </w:r>
      <w:r w:rsidRPr="00607317">
        <w:rPr>
          <w:rFonts w:eastAsia="Times New Roman"/>
        </w:rPr>
        <w:t xml:space="preserve"> Provides a list of all cash and check donors from the specified organization and identifies whether funds have been received by the company and/or fundraiser.  Should be run by the CM on the last day of campaign in order to provide a check list of the cash and check payments to collect.</w:t>
      </w:r>
    </w:p>
    <w:p w14:paraId="21322B28" w14:textId="77777777" w:rsidR="0028707B" w:rsidRPr="00607317" w:rsidRDefault="0028707B" w:rsidP="0028707B">
      <w:pPr>
        <w:pStyle w:val="ListParagraph"/>
        <w:numPr>
          <w:ilvl w:val="0"/>
          <w:numId w:val="16"/>
        </w:numPr>
        <w:rPr>
          <w:rFonts w:eastAsia="Times New Roman"/>
        </w:rPr>
      </w:pPr>
      <w:r>
        <w:rPr>
          <w:rFonts w:eastAsia="Times New Roman"/>
          <w:b/>
          <w:sz w:val="24"/>
          <w:szCs w:val="24"/>
        </w:rPr>
        <w:t>NO RESPONSE REPORT</w:t>
      </w:r>
      <w:r w:rsidRPr="000F2F72">
        <w:rPr>
          <w:rFonts w:eastAsia="Times New Roman"/>
          <w:b/>
          <w:sz w:val="24"/>
          <w:szCs w:val="24"/>
        </w:rPr>
        <w:t>:</w:t>
      </w:r>
      <w:r>
        <w:rPr>
          <w:rFonts w:eastAsia="Times New Roman"/>
          <w:sz w:val="24"/>
          <w:szCs w:val="24"/>
        </w:rPr>
        <w:t xml:space="preserve"> </w:t>
      </w:r>
      <w:r w:rsidRPr="00607317">
        <w:rPr>
          <w:rFonts w:eastAsia="Times New Roman"/>
        </w:rPr>
        <w:t>Provides a list of individuals who have not yet donated at the organization.  If you check the box “include amounts”, it will have the previous year’s gift in the report for anyone who gave last year and hasn’t renewed their pledge.  It is a very quick way to get a list of outstanding donors, and identify outstanding Leadership donors.</w:t>
      </w:r>
    </w:p>
    <w:p w14:paraId="1CAE72F4" w14:textId="77777777" w:rsidR="0028707B" w:rsidRDefault="0028707B" w:rsidP="0028707B">
      <w:pPr>
        <w:pStyle w:val="ListParagraph"/>
        <w:numPr>
          <w:ilvl w:val="0"/>
          <w:numId w:val="16"/>
        </w:numPr>
        <w:rPr>
          <w:rFonts w:eastAsia="Times New Roman"/>
          <w:sz w:val="24"/>
          <w:szCs w:val="24"/>
        </w:rPr>
      </w:pPr>
      <w:r>
        <w:rPr>
          <w:rFonts w:eastAsia="Times New Roman"/>
          <w:b/>
          <w:sz w:val="24"/>
          <w:szCs w:val="24"/>
        </w:rPr>
        <w:t>RESPONSE REPORT</w:t>
      </w:r>
      <w:r w:rsidRPr="00607317">
        <w:rPr>
          <w:rFonts w:eastAsia="Times New Roman"/>
          <w:b/>
        </w:rPr>
        <w:t>:</w:t>
      </w:r>
      <w:r w:rsidRPr="00607317">
        <w:rPr>
          <w:rFonts w:eastAsia="Times New Roman"/>
        </w:rPr>
        <w:t xml:space="preserve"> Provides a list of all donors</w:t>
      </w:r>
      <w:r w:rsidRPr="00EF69F2">
        <w:rPr>
          <w:rFonts w:eastAsia="Times New Roman"/>
          <w:sz w:val="24"/>
          <w:szCs w:val="24"/>
        </w:rPr>
        <w:t xml:space="preserve"> </w:t>
      </w:r>
    </w:p>
    <w:p w14:paraId="6B7CB0D0" w14:textId="77777777" w:rsidR="0028707B" w:rsidRPr="00EF69F2" w:rsidRDefault="0028707B" w:rsidP="0028707B">
      <w:pPr>
        <w:pStyle w:val="ListParagraph"/>
        <w:numPr>
          <w:ilvl w:val="0"/>
          <w:numId w:val="16"/>
        </w:numPr>
      </w:pPr>
      <w:r>
        <w:rPr>
          <w:rFonts w:eastAsia="Times New Roman"/>
          <w:b/>
          <w:sz w:val="24"/>
          <w:szCs w:val="24"/>
        </w:rPr>
        <w:t>TRANSACTION REPORT</w:t>
      </w:r>
      <w:r w:rsidRPr="00EF69F2">
        <w:rPr>
          <w:rFonts w:eastAsia="Times New Roman"/>
          <w:b/>
          <w:sz w:val="24"/>
          <w:szCs w:val="24"/>
        </w:rPr>
        <w:t>:</w:t>
      </w:r>
      <w:r w:rsidRPr="00EF69F2">
        <w:rPr>
          <w:rFonts w:eastAsia="Times New Roman"/>
          <w:sz w:val="24"/>
          <w:szCs w:val="24"/>
        </w:rPr>
        <w:t xml:space="preserve"> </w:t>
      </w:r>
      <w:r w:rsidRPr="00607317">
        <w:rPr>
          <w:rFonts w:eastAsia="Times New Roman"/>
        </w:rPr>
        <w:t>All transactions created for the account are recorded as a line entry on this report.  Amounts are always displayed with the transaction data.</w:t>
      </w:r>
      <w:r w:rsidRPr="00EF69F2">
        <w:rPr>
          <w:rFonts w:eastAsia="Times New Roman"/>
          <w:sz w:val="24"/>
          <w:szCs w:val="24"/>
        </w:rPr>
        <w:t xml:space="preserve">  </w:t>
      </w:r>
    </w:p>
    <w:p w14:paraId="32531E25" w14:textId="77777777" w:rsidR="00EF69F2" w:rsidRDefault="00EF69F2" w:rsidP="00EF69F2">
      <w:pPr>
        <w:pStyle w:val="ListParagraph"/>
        <w:ind w:left="0"/>
      </w:pPr>
    </w:p>
    <w:p w14:paraId="39B83A1F" w14:textId="77777777" w:rsidR="006323C1" w:rsidRDefault="00EF69F2" w:rsidP="00EF69F2">
      <w:pPr>
        <w:pStyle w:val="ListParagraph"/>
        <w:ind w:left="0"/>
      </w:pPr>
      <w:r>
        <w:t xml:space="preserve">The Campaign Manager can access these reports from their ePledge account. </w:t>
      </w:r>
      <w:r w:rsidR="0095446F">
        <w:t>Login to ePledge, then</w:t>
      </w:r>
      <w:r>
        <w:t xml:space="preserve"> select the “Change to Administrator” option at the bottom left of the home page.  </w:t>
      </w:r>
      <w:r w:rsidR="00A374E3">
        <w:t>The Administrator page displays a campaign status</w:t>
      </w:r>
      <w:r w:rsidR="00AE50E7">
        <w:t xml:space="preserve"> table with current statistics (screen shot below.)</w:t>
      </w:r>
    </w:p>
    <w:p w14:paraId="6B9A9871" w14:textId="77777777" w:rsidR="00F63F97" w:rsidRDefault="00F63F97" w:rsidP="00EF69F2">
      <w:pPr>
        <w:pStyle w:val="ListParagraph"/>
        <w:ind w:left="0"/>
      </w:pPr>
    </w:p>
    <w:p w14:paraId="24D71772" w14:textId="38190902" w:rsidR="000162C2" w:rsidRDefault="00BF184C" w:rsidP="00EF69F2">
      <w:pPr>
        <w:pStyle w:val="ListParagraph"/>
        <w:ind w:left="0"/>
      </w:pPr>
      <w:r>
        <w:rPr>
          <w:noProof/>
        </w:rPr>
        <w:drawing>
          <wp:inline distT="0" distB="0" distL="0" distR="0" wp14:anchorId="5D7D54BB" wp14:editId="1F7DCC73">
            <wp:extent cx="5943600" cy="2299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99970"/>
                    </a:xfrm>
                    <a:prstGeom prst="rect">
                      <a:avLst/>
                    </a:prstGeom>
                    <a:noFill/>
                    <a:ln>
                      <a:noFill/>
                    </a:ln>
                  </pic:spPr>
                </pic:pic>
              </a:graphicData>
            </a:graphic>
          </wp:inline>
        </w:drawing>
      </w:r>
    </w:p>
    <w:p w14:paraId="75D7B52F" w14:textId="77777777" w:rsidR="0028707B" w:rsidRDefault="009E7CEB" w:rsidP="0028707B">
      <w:pPr>
        <w:pStyle w:val="ListParagraph"/>
        <w:ind w:left="0"/>
      </w:pPr>
      <w:r>
        <w:br w:type="page"/>
      </w:r>
      <w:r w:rsidR="0028707B">
        <w:lastRenderedPageBreak/>
        <w:t xml:space="preserve">Selecting the </w:t>
      </w:r>
      <w:r w:rsidR="0028707B" w:rsidRPr="001D07B0">
        <w:rPr>
          <w:i/>
          <w:iCs/>
        </w:rPr>
        <w:t>REPORTS</w:t>
      </w:r>
      <w:r w:rsidR="0028707B">
        <w:t xml:space="preserve"> tab on the Administrator portal will allow the CM to select the report type they wish to run from the dropdown menu. Once the report is complete, it will auto-load to the </w:t>
      </w:r>
      <w:r w:rsidR="0028707B" w:rsidRPr="001D07B0">
        <w:rPr>
          <w:i/>
          <w:iCs/>
        </w:rPr>
        <w:t>MY OUTPUTS</w:t>
      </w:r>
      <w:r w:rsidR="0028707B" w:rsidRPr="00967CC5">
        <w:t xml:space="preserve"> </w:t>
      </w:r>
      <w:r w:rsidR="0028707B">
        <w:t xml:space="preserve">tab. User must select </w:t>
      </w:r>
      <w:r w:rsidR="0028707B" w:rsidRPr="001D07B0">
        <w:rPr>
          <w:i/>
          <w:iCs/>
        </w:rPr>
        <w:t>MY OUTPUTS</w:t>
      </w:r>
      <w:r w:rsidR="0028707B">
        <w:t xml:space="preserve"> to view the report. </w:t>
      </w:r>
    </w:p>
    <w:p w14:paraId="6AAB3592" w14:textId="35EA3A9F" w:rsidR="00EF69F2" w:rsidRDefault="00EF69F2" w:rsidP="00EF69F2">
      <w:pPr>
        <w:pStyle w:val="ListParagraph"/>
        <w:ind w:left="0"/>
      </w:pPr>
    </w:p>
    <w:p w14:paraId="453314FB" w14:textId="61C601A3" w:rsidR="00EF69F2" w:rsidRDefault="00BF184C" w:rsidP="00EF69F2">
      <w:pPr>
        <w:pStyle w:val="ListParagraph"/>
        <w:ind w:left="0"/>
        <w:rPr>
          <w:noProof/>
        </w:rPr>
      </w:pPr>
      <w:r>
        <w:rPr>
          <w:noProof/>
        </w:rPr>
        <w:drawing>
          <wp:inline distT="0" distB="0" distL="0" distR="0" wp14:anchorId="35C37C47" wp14:editId="21DE21DE">
            <wp:extent cx="5936615" cy="37280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3728085"/>
                    </a:xfrm>
                    <a:prstGeom prst="rect">
                      <a:avLst/>
                    </a:prstGeom>
                    <a:noFill/>
                    <a:ln>
                      <a:noFill/>
                    </a:ln>
                  </pic:spPr>
                </pic:pic>
              </a:graphicData>
            </a:graphic>
          </wp:inline>
        </w:drawing>
      </w:r>
    </w:p>
    <w:p w14:paraId="33FD21C1" w14:textId="77777777" w:rsidR="001133CF" w:rsidRDefault="001133CF" w:rsidP="00EF69F2">
      <w:pPr>
        <w:pStyle w:val="ListParagraph"/>
        <w:ind w:left="0"/>
        <w:rPr>
          <w:noProof/>
        </w:rPr>
      </w:pPr>
    </w:p>
    <w:p w14:paraId="28C30AE6" w14:textId="77777777" w:rsidR="0028707B" w:rsidRDefault="0028707B" w:rsidP="0028707B">
      <w:pPr>
        <w:pStyle w:val="ListParagraph"/>
        <w:ind w:left="0"/>
      </w:pPr>
      <w:r>
        <w:t xml:space="preserve">Selecting the first report option </w:t>
      </w:r>
      <w:r>
        <w:rPr>
          <w:i/>
          <w:iCs/>
        </w:rPr>
        <w:t>PRE-DEFINED REPORTS</w:t>
      </w:r>
      <w:r>
        <w:t xml:space="preserve"> will allow the CM to run the four most common reports and view their results within the same screen, instead of toggling to </w:t>
      </w:r>
      <w:r w:rsidRPr="009433D9">
        <w:rPr>
          <w:i/>
          <w:iCs/>
        </w:rPr>
        <w:t>MY OUTPUTS.</w:t>
      </w:r>
    </w:p>
    <w:p w14:paraId="6ED4FEE7" w14:textId="3F85BB17" w:rsidR="006323C1" w:rsidRDefault="00BF184C" w:rsidP="00EF69F2">
      <w:pPr>
        <w:pStyle w:val="ListParagraph"/>
        <w:ind w:left="0"/>
      </w:pPr>
      <w:r>
        <w:rPr>
          <w:noProof/>
        </w:rPr>
        <w:drawing>
          <wp:inline distT="0" distB="0" distL="0" distR="0" wp14:anchorId="4044FA41" wp14:editId="03E33C1C">
            <wp:extent cx="5936615" cy="3629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3629660"/>
                    </a:xfrm>
                    <a:prstGeom prst="rect">
                      <a:avLst/>
                    </a:prstGeom>
                    <a:noFill/>
                    <a:ln>
                      <a:noFill/>
                    </a:ln>
                  </pic:spPr>
                </pic:pic>
              </a:graphicData>
            </a:graphic>
          </wp:inline>
        </w:drawing>
      </w:r>
    </w:p>
    <w:p w14:paraId="6D83C76C" w14:textId="77777777" w:rsidR="00E54C84" w:rsidRPr="009433D9" w:rsidRDefault="00E54C84" w:rsidP="00E54C84">
      <w:pPr>
        <w:rPr>
          <w:rFonts w:ascii="Calibri" w:hAnsi="Calibri"/>
          <w:bCs/>
          <w:i/>
          <w:iCs/>
        </w:rPr>
      </w:pPr>
      <w:r w:rsidRPr="009433D9">
        <w:rPr>
          <w:rFonts w:ascii="Calibri" w:hAnsi="Calibri"/>
          <w:bCs/>
          <w:i/>
          <w:iCs/>
        </w:rPr>
        <w:t>CAMPAIGN @ A GLANCE</w:t>
      </w:r>
    </w:p>
    <w:p w14:paraId="73866CCD" w14:textId="77777777" w:rsidR="00E54C84" w:rsidRDefault="00E54C84" w:rsidP="00E54C84">
      <w:pPr>
        <w:rPr>
          <w:rFonts w:ascii="Calibri" w:hAnsi="Calibri"/>
          <w:b/>
        </w:rPr>
      </w:pPr>
    </w:p>
    <w:p w14:paraId="704ACDE8" w14:textId="0708DAE7" w:rsidR="009A77B7" w:rsidRPr="00E54C84" w:rsidRDefault="00E54C84" w:rsidP="00E54C84">
      <w:pPr>
        <w:rPr>
          <w:rFonts w:ascii="Calibri" w:hAnsi="Calibri"/>
          <w:sz w:val="22"/>
          <w:szCs w:val="22"/>
        </w:rPr>
      </w:pPr>
      <w:r w:rsidRPr="009433D9">
        <w:rPr>
          <w:rFonts w:ascii="Calibri" w:hAnsi="Calibri"/>
          <w:sz w:val="22"/>
          <w:szCs w:val="22"/>
        </w:rPr>
        <w:t xml:space="preserve">New in 2016, </w:t>
      </w:r>
      <w:r w:rsidRPr="00CF6A28">
        <w:rPr>
          <w:rFonts w:ascii="Calibri" w:hAnsi="Calibri"/>
          <w:i/>
          <w:iCs/>
          <w:sz w:val="22"/>
          <w:szCs w:val="22"/>
        </w:rPr>
        <w:t xml:space="preserve">CAMPAIGN @ A GLANCE </w:t>
      </w:r>
      <w:r w:rsidR="00C43DCD" w:rsidRPr="00E54C84">
        <w:rPr>
          <w:rFonts w:ascii="Calibri" w:hAnsi="Calibri"/>
          <w:sz w:val="22"/>
          <w:szCs w:val="22"/>
        </w:rPr>
        <w:t>is an easy to read</w:t>
      </w:r>
      <w:r w:rsidR="00776B57" w:rsidRPr="00E54C84">
        <w:rPr>
          <w:rFonts w:ascii="Calibri" w:hAnsi="Calibri"/>
          <w:sz w:val="22"/>
          <w:szCs w:val="22"/>
        </w:rPr>
        <w:t xml:space="preserve"> </w:t>
      </w:r>
      <w:r w:rsidR="00776B57" w:rsidRPr="00E54C84">
        <w:rPr>
          <w:rFonts w:ascii="Calibri" w:hAnsi="Calibri"/>
          <w:i/>
          <w:sz w:val="22"/>
          <w:szCs w:val="22"/>
        </w:rPr>
        <w:t>dashboard</w:t>
      </w:r>
      <w:r w:rsidR="00776B57" w:rsidRPr="00E54C84">
        <w:rPr>
          <w:rFonts w:ascii="Calibri" w:hAnsi="Calibri"/>
          <w:sz w:val="22"/>
          <w:szCs w:val="22"/>
        </w:rPr>
        <w:t>, with the most requested campaign details all in one place.</w:t>
      </w:r>
      <w:r w:rsidR="00C43DCD" w:rsidRPr="00E54C84">
        <w:rPr>
          <w:rFonts w:ascii="Calibri" w:hAnsi="Calibri"/>
          <w:sz w:val="22"/>
          <w:szCs w:val="22"/>
        </w:rPr>
        <w:t xml:space="preserve">  This is the perfect option for a CM to easily assess campaign progress. It provides</w:t>
      </w:r>
      <w:r w:rsidR="00776B57" w:rsidRPr="00E54C84">
        <w:rPr>
          <w:rFonts w:ascii="Calibri" w:hAnsi="Calibri"/>
          <w:sz w:val="22"/>
          <w:szCs w:val="22"/>
        </w:rPr>
        <w:t xml:space="preserve"> a detailed, easy to read snapshot of campaign statistics. </w:t>
      </w:r>
      <w:r w:rsidR="00C43DCD" w:rsidRPr="00E54C84">
        <w:rPr>
          <w:rFonts w:ascii="Calibri" w:hAnsi="Calibri"/>
          <w:sz w:val="22"/>
          <w:szCs w:val="22"/>
        </w:rPr>
        <w:t>To view, s</w:t>
      </w:r>
      <w:r w:rsidR="00C52715" w:rsidRPr="00E54C84">
        <w:rPr>
          <w:rFonts w:ascii="Calibri" w:hAnsi="Calibri"/>
          <w:sz w:val="22"/>
          <w:szCs w:val="22"/>
        </w:rPr>
        <w:t>elect the last option under the reports tab (see below.)</w:t>
      </w:r>
      <w:r w:rsidR="00C43DCD" w:rsidRPr="00E54C84">
        <w:rPr>
          <w:rFonts w:ascii="Calibri" w:hAnsi="Calibri"/>
          <w:sz w:val="22"/>
          <w:szCs w:val="22"/>
        </w:rPr>
        <w:t xml:space="preserve"> Then click on the company name (</w:t>
      </w:r>
      <w:proofErr w:type="spellStart"/>
      <w:r w:rsidR="00C43DCD" w:rsidRPr="00E54C84">
        <w:rPr>
          <w:rFonts w:ascii="Calibri" w:hAnsi="Calibri"/>
          <w:sz w:val="22"/>
          <w:szCs w:val="22"/>
        </w:rPr>
        <w:t>ie</w:t>
      </w:r>
      <w:proofErr w:type="spellEnd"/>
      <w:r w:rsidR="00C43DCD" w:rsidRPr="00E54C84">
        <w:rPr>
          <w:rFonts w:ascii="Calibri" w:hAnsi="Calibri"/>
          <w:sz w:val="22"/>
          <w:szCs w:val="22"/>
        </w:rPr>
        <w:t>. “Andrew Mobile Response”) for local only campaigns</w:t>
      </w:r>
      <w:r w:rsidR="00C52715" w:rsidRPr="00E54C84">
        <w:rPr>
          <w:rFonts w:ascii="Calibri" w:hAnsi="Calibri"/>
          <w:sz w:val="22"/>
          <w:szCs w:val="22"/>
        </w:rPr>
        <w:t xml:space="preserve"> or </w:t>
      </w:r>
      <w:r w:rsidR="00C43DCD" w:rsidRPr="00E54C84">
        <w:rPr>
          <w:rFonts w:ascii="Calibri" w:hAnsi="Calibri"/>
          <w:sz w:val="22"/>
          <w:szCs w:val="22"/>
        </w:rPr>
        <w:t>‘</w:t>
      </w:r>
      <w:r w:rsidR="00C52715" w:rsidRPr="00E54C84">
        <w:rPr>
          <w:rFonts w:ascii="Calibri" w:hAnsi="Calibri"/>
          <w:sz w:val="22"/>
          <w:szCs w:val="22"/>
        </w:rPr>
        <w:t>Roll-up</w:t>
      </w:r>
      <w:r w:rsidR="00C43DCD" w:rsidRPr="00E54C84">
        <w:rPr>
          <w:rFonts w:ascii="Calibri" w:hAnsi="Calibri"/>
          <w:sz w:val="22"/>
          <w:szCs w:val="22"/>
        </w:rPr>
        <w:t xml:space="preserve">’ </w:t>
      </w:r>
      <w:r w:rsidR="00C52715" w:rsidRPr="00E54C84">
        <w:rPr>
          <w:rFonts w:ascii="Calibri" w:hAnsi="Calibri"/>
          <w:sz w:val="22"/>
          <w:szCs w:val="22"/>
        </w:rPr>
        <w:t>for</w:t>
      </w:r>
      <w:r w:rsidR="00C43DCD" w:rsidRPr="00E54C84">
        <w:rPr>
          <w:rFonts w:ascii="Calibri" w:hAnsi="Calibri"/>
          <w:sz w:val="22"/>
          <w:szCs w:val="22"/>
        </w:rPr>
        <w:t xml:space="preserve"> campaigns with multiple locations</w:t>
      </w:r>
      <w:r w:rsidR="00C52715" w:rsidRPr="00E54C84">
        <w:rPr>
          <w:rFonts w:ascii="Calibri" w:hAnsi="Calibri"/>
          <w:sz w:val="22"/>
          <w:szCs w:val="22"/>
        </w:rPr>
        <w:t>.</w:t>
      </w:r>
    </w:p>
    <w:p w14:paraId="00CA2EBA" w14:textId="77777777" w:rsidR="000162C2" w:rsidRDefault="000162C2" w:rsidP="0037090D">
      <w:pPr>
        <w:rPr>
          <w:rFonts w:ascii="Calibri" w:hAnsi="Calibri"/>
        </w:rPr>
      </w:pPr>
    </w:p>
    <w:p w14:paraId="676F4958" w14:textId="47CEDCB9" w:rsidR="00C52715" w:rsidRDefault="00BF184C" w:rsidP="0037090D">
      <w:pPr>
        <w:rPr>
          <w:rFonts w:ascii="Calibri" w:hAnsi="Calibri"/>
        </w:rPr>
      </w:pPr>
      <w:r>
        <w:rPr>
          <w:rFonts w:ascii="Calibri" w:hAnsi="Calibri"/>
          <w:noProof/>
        </w:rPr>
        <w:drawing>
          <wp:inline distT="0" distB="0" distL="0" distR="0" wp14:anchorId="77CCF07E" wp14:editId="2BE9EA50">
            <wp:extent cx="5936615"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731520"/>
                    </a:xfrm>
                    <a:prstGeom prst="rect">
                      <a:avLst/>
                    </a:prstGeom>
                    <a:noFill/>
                    <a:ln>
                      <a:noFill/>
                    </a:ln>
                  </pic:spPr>
                </pic:pic>
              </a:graphicData>
            </a:graphic>
          </wp:inline>
        </w:drawing>
      </w:r>
    </w:p>
    <w:p w14:paraId="335DA284" w14:textId="77777777" w:rsidR="000162C2" w:rsidRDefault="000162C2" w:rsidP="000162C2">
      <w:pPr>
        <w:rPr>
          <w:rFonts w:ascii="Calibri" w:hAnsi="Calibri"/>
        </w:rPr>
      </w:pPr>
    </w:p>
    <w:p w14:paraId="2A307653" w14:textId="0B4B0583" w:rsidR="00C52715" w:rsidRDefault="00BF184C" w:rsidP="0037090D">
      <w:pPr>
        <w:rPr>
          <w:rFonts w:ascii="Calibri" w:hAnsi="Calibri"/>
        </w:rPr>
      </w:pPr>
      <w:r>
        <w:rPr>
          <w:rFonts w:ascii="Calibri" w:hAnsi="Calibri"/>
        </w:rPr>
        <w:br w:type="page"/>
      </w:r>
      <w:r w:rsidR="00C52715">
        <w:rPr>
          <w:rFonts w:ascii="Calibri" w:hAnsi="Calibri"/>
        </w:rPr>
        <w:t xml:space="preserve">Below is an example of the </w:t>
      </w:r>
      <w:r w:rsidR="00E54C84" w:rsidRPr="009433D9">
        <w:rPr>
          <w:rFonts w:ascii="Calibri" w:hAnsi="Calibri"/>
          <w:bCs/>
          <w:i/>
          <w:iCs/>
        </w:rPr>
        <w:t>CAMPAIGN @ A GLANCE</w:t>
      </w:r>
      <w:r w:rsidR="00E54C84">
        <w:rPr>
          <w:rFonts w:ascii="Calibri" w:hAnsi="Calibri"/>
          <w:bCs/>
          <w:i/>
          <w:iCs/>
        </w:rPr>
        <w:t xml:space="preserve"> </w:t>
      </w:r>
      <w:r w:rsidR="00C52715">
        <w:rPr>
          <w:rFonts w:ascii="Calibri" w:hAnsi="Calibri"/>
        </w:rPr>
        <w:t xml:space="preserve">Dashboard: </w:t>
      </w:r>
    </w:p>
    <w:p w14:paraId="203815DC" w14:textId="063FDC98" w:rsidR="00776B57" w:rsidRPr="00776B57" w:rsidRDefault="00BF184C" w:rsidP="0037090D">
      <w:pPr>
        <w:rPr>
          <w:rFonts w:ascii="Calibri" w:hAnsi="Calibri"/>
        </w:rPr>
      </w:pPr>
      <w:r>
        <w:rPr>
          <w:rFonts w:ascii="Calibri" w:hAnsi="Calibri"/>
          <w:noProof/>
        </w:rPr>
        <w:drawing>
          <wp:inline distT="0" distB="0" distL="0" distR="0" wp14:anchorId="0C32FF52" wp14:editId="5881CA6F">
            <wp:extent cx="4782820" cy="5634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2820" cy="5634355"/>
                    </a:xfrm>
                    <a:prstGeom prst="rect">
                      <a:avLst/>
                    </a:prstGeom>
                    <a:noFill/>
                    <a:ln>
                      <a:noFill/>
                    </a:ln>
                  </pic:spPr>
                </pic:pic>
              </a:graphicData>
            </a:graphic>
          </wp:inline>
        </w:drawing>
      </w:r>
    </w:p>
    <w:p w14:paraId="22AB6C3F" w14:textId="77777777" w:rsidR="009A77B7" w:rsidRDefault="009A77B7" w:rsidP="0037090D">
      <w:pPr>
        <w:rPr>
          <w:rFonts w:ascii="Calibri" w:hAnsi="Calibri"/>
          <w:b/>
          <w:color w:val="0000FF"/>
        </w:rPr>
      </w:pPr>
    </w:p>
    <w:p w14:paraId="25645FC4" w14:textId="77777777" w:rsidR="00EC3986" w:rsidRPr="000F2F72" w:rsidRDefault="00C52715" w:rsidP="0037090D">
      <w:pPr>
        <w:rPr>
          <w:rFonts w:ascii="Calibri" w:hAnsi="Calibri"/>
          <w:b/>
          <w:color w:val="0000FF"/>
        </w:rPr>
      </w:pPr>
      <w:r>
        <w:rPr>
          <w:rFonts w:ascii="Calibri" w:hAnsi="Calibri"/>
          <w:b/>
          <w:color w:val="0000FF"/>
        </w:rPr>
        <w:br w:type="page"/>
      </w:r>
      <w:r w:rsidR="00EC3986" w:rsidRPr="000F2F72">
        <w:rPr>
          <w:rFonts w:ascii="Calibri" w:hAnsi="Calibri"/>
          <w:b/>
          <w:color w:val="0000FF"/>
        </w:rPr>
        <w:t>FAQ:</w:t>
      </w:r>
    </w:p>
    <w:p w14:paraId="16BAA27F" w14:textId="77777777" w:rsidR="00A03175" w:rsidRPr="004C7568" w:rsidRDefault="00A03175" w:rsidP="00A03175">
      <w:pPr>
        <w:pStyle w:val="ListParagraph"/>
        <w:spacing w:after="0" w:line="240" w:lineRule="auto"/>
        <w:ind w:left="0"/>
        <w:contextualSpacing w:val="0"/>
        <w:rPr>
          <w:b/>
          <w:sz w:val="24"/>
          <w:szCs w:val="24"/>
        </w:rPr>
      </w:pPr>
      <w:r w:rsidRPr="004C7568">
        <w:rPr>
          <w:b/>
          <w:sz w:val="24"/>
          <w:szCs w:val="24"/>
        </w:rPr>
        <w:t>Q: How do I look at all gifts received?  What type of gift are they? Were they designated to an agency and which one?</w:t>
      </w:r>
    </w:p>
    <w:p w14:paraId="10F88FC5" w14:textId="77777777" w:rsidR="00A03175" w:rsidRPr="000F2F72" w:rsidRDefault="00A03175" w:rsidP="00A03175">
      <w:pPr>
        <w:pStyle w:val="ListParagraph"/>
        <w:spacing w:after="0" w:line="240" w:lineRule="auto"/>
        <w:ind w:left="0"/>
        <w:contextualSpacing w:val="0"/>
        <w:rPr>
          <w:color w:val="0D7AFF"/>
          <w:sz w:val="24"/>
          <w:szCs w:val="24"/>
        </w:rPr>
      </w:pPr>
      <w:r w:rsidRPr="000F2F72">
        <w:rPr>
          <w:color w:val="0D7AFF"/>
          <w:sz w:val="24"/>
          <w:szCs w:val="24"/>
        </w:rPr>
        <w:t xml:space="preserve">A: </w:t>
      </w:r>
      <w:r w:rsidR="001C0BB8" w:rsidRPr="000F2F72">
        <w:rPr>
          <w:color w:val="0D7AFF"/>
          <w:sz w:val="24"/>
          <w:szCs w:val="24"/>
        </w:rPr>
        <w:t>Run the</w:t>
      </w:r>
      <w:r w:rsidR="004C7568">
        <w:rPr>
          <w:b/>
          <w:color w:val="0D7AFF"/>
          <w:sz w:val="24"/>
          <w:szCs w:val="24"/>
        </w:rPr>
        <w:t xml:space="preserve"> T</w:t>
      </w:r>
      <w:r w:rsidR="001C0BB8" w:rsidRPr="004C7568">
        <w:rPr>
          <w:b/>
          <w:color w:val="0D7AFF"/>
          <w:sz w:val="24"/>
          <w:szCs w:val="24"/>
        </w:rPr>
        <w:t>ransaction</w:t>
      </w:r>
      <w:r w:rsidR="001C0BB8" w:rsidRPr="000F2F72">
        <w:rPr>
          <w:color w:val="0D7AFF"/>
          <w:sz w:val="24"/>
          <w:szCs w:val="24"/>
        </w:rPr>
        <w:t xml:space="preserve"> report and include donor detail.  This will allow you to view this information for everyone at the organization you run the report for.</w:t>
      </w:r>
    </w:p>
    <w:p w14:paraId="2AB043CC" w14:textId="77777777" w:rsidR="00A03175" w:rsidRPr="004C7568" w:rsidRDefault="00A03175" w:rsidP="00A03175">
      <w:pPr>
        <w:pStyle w:val="ListParagraph"/>
        <w:spacing w:after="0" w:line="240" w:lineRule="auto"/>
        <w:ind w:left="0"/>
        <w:contextualSpacing w:val="0"/>
        <w:rPr>
          <w:b/>
          <w:sz w:val="24"/>
          <w:szCs w:val="24"/>
        </w:rPr>
      </w:pPr>
      <w:r w:rsidRPr="004C7568">
        <w:rPr>
          <w:b/>
          <w:sz w:val="24"/>
          <w:szCs w:val="24"/>
        </w:rPr>
        <w:t>Q: How do I view outstanding leadership givers?</w:t>
      </w:r>
    </w:p>
    <w:p w14:paraId="4725AAAC" w14:textId="77777777" w:rsidR="00A03175" w:rsidRPr="000F2F72" w:rsidRDefault="00A03175" w:rsidP="00A03175">
      <w:pPr>
        <w:pStyle w:val="ListParagraph"/>
        <w:spacing w:after="0" w:line="240" w:lineRule="auto"/>
        <w:ind w:left="0"/>
        <w:contextualSpacing w:val="0"/>
        <w:rPr>
          <w:color w:val="0D7AFF"/>
          <w:sz w:val="24"/>
          <w:szCs w:val="24"/>
        </w:rPr>
      </w:pPr>
      <w:r w:rsidRPr="000F2F72">
        <w:rPr>
          <w:color w:val="0D7AFF"/>
          <w:sz w:val="24"/>
          <w:szCs w:val="24"/>
        </w:rPr>
        <w:t>A:</w:t>
      </w:r>
      <w:r w:rsidR="001C0BB8" w:rsidRPr="000F2F72">
        <w:rPr>
          <w:color w:val="0D7AFF"/>
          <w:sz w:val="24"/>
          <w:szCs w:val="24"/>
        </w:rPr>
        <w:t xml:space="preserve"> Run </w:t>
      </w:r>
      <w:r w:rsidR="001C0BB8" w:rsidRPr="004C7568">
        <w:rPr>
          <w:b/>
          <w:color w:val="0D7AFF"/>
          <w:sz w:val="24"/>
          <w:szCs w:val="24"/>
        </w:rPr>
        <w:t xml:space="preserve">the </w:t>
      </w:r>
      <w:r w:rsidR="004C7568" w:rsidRPr="004C7568">
        <w:rPr>
          <w:b/>
          <w:color w:val="0D7AFF"/>
          <w:sz w:val="24"/>
          <w:szCs w:val="24"/>
        </w:rPr>
        <w:t>No Response</w:t>
      </w:r>
      <w:r w:rsidR="001C0BB8" w:rsidRPr="000F2F72">
        <w:rPr>
          <w:color w:val="0D7AFF"/>
          <w:sz w:val="24"/>
          <w:szCs w:val="24"/>
        </w:rPr>
        <w:t xml:space="preserve"> report including amounts</w:t>
      </w:r>
      <w:r w:rsidR="00EC56BE" w:rsidRPr="000F2F72">
        <w:rPr>
          <w:color w:val="0D7AFF"/>
          <w:sz w:val="24"/>
          <w:szCs w:val="24"/>
        </w:rPr>
        <w:t xml:space="preserve"> as a </w:t>
      </w:r>
      <w:r w:rsidR="004C7568">
        <w:rPr>
          <w:color w:val="0D7AFF"/>
          <w:sz w:val="24"/>
          <w:szCs w:val="24"/>
        </w:rPr>
        <w:t>.</w:t>
      </w:r>
      <w:r w:rsidR="00EC56BE" w:rsidRPr="000F2F72">
        <w:rPr>
          <w:color w:val="0D7AFF"/>
          <w:sz w:val="24"/>
          <w:szCs w:val="24"/>
        </w:rPr>
        <w:t>csv</w:t>
      </w:r>
      <w:r w:rsidR="004C7568">
        <w:rPr>
          <w:color w:val="0D7AFF"/>
          <w:sz w:val="24"/>
          <w:szCs w:val="24"/>
        </w:rPr>
        <w:t xml:space="preserve"> file</w:t>
      </w:r>
      <w:r w:rsidR="00EC56BE" w:rsidRPr="000F2F72">
        <w:rPr>
          <w:color w:val="0D7AFF"/>
          <w:sz w:val="24"/>
          <w:szCs w:val="24"/>
        </w:rPr>
        <w:t>, and w</w:t>
      </w:r>
      <w:r w:rsidR="00442358" w:rsidRPr="000F2F72">
        <w:rPr>
          <w:color w:val="0D7AFF"/>
          <w:sz w:val="24"/>
          <w:szCs w:val="24"/>
        </w:rPr>
        <w:t>hen you receive the output sort by last year</w:t>
      </w:r>
      <w:r w:rsidR="000F7CBB" w:rsidRPr="000F2F72">
        <w:rPr>
          <w:color w:val="0D7AFF"/>
          <w:sz w:val="24"/>
          <w:szCs w:val="24"/>
        </w:rPr>
        <w:t>’</w:t>
      </w:r>
      <w:r w:rsidR="00442358" w:rsidRPr="000F2F72">
        <w:rPr>
          <w:color w:val="0D7AFF"/>
          <w:sz w:val="24"/>
          <w:szCs w:val="24"/>
        </w:rPr>
        <w:t xml:space="preserve">s gift.  Anyone that has a last year’s gift of </w:t>
      </w:r>
      <w:r w:rsidR="004C7568">
        <w:rPr>
          <w:color w:val="0D7AFF"/>
          <w:sz w:val="24"/>
          <w:szCs w:val="24"/>
        </w:rPr>
        <w:t>$</w:t>
      </w:r>
      <w:r w:rsidR="00442358" w:rsidRPr="000F2F72">
        <w:rPr>
          <w:color w:val="0D7AFF"/>
          <w:sz w:val="24"/>
          <w:szCs w:val="24"/>
        </w:rPr>
        <w:t>1000 or more on that report is an outstanding leader.</w:t>
      </w:r>
    </w:p>
    <w:p w14:paraId="0B115FDB" w14:textId="77777777" w:rsidR="00A03175" w:rsidRPr="004C7568" w:rsidRDefault="00A03175" w:rsidP="00A03175">
      <w:pPr>
        <w:pStyle w:val="ListParagraph"/>
        <w:spacing w:after="0" w:line="240" w:lineRule="auto"/>
        <w:ind w:left="0"/>
        <w:contextualSpacing w:val="0"/>
        <w:rPr>
          <w:b/>
          <w:sz w:val="24"/>
          <w:szCs w:val="24"/>
        </w:rPr>
      </w:pPr>
      <w:r w:rsidRPr="004C7568">
        <w:rPr>
          <w:b/>
          <w:sz w:val="24"/>
          <w:szCs w:val="24"/>
        </w:rPr>
        <w:t>Q: Can we track Special E</w:t>
      </w:r>
      <w:r w:rsidR="004C7568" w:rsidRPr="004C7568">
        <w:rPr>
          <w:b/>
          <w:sz w:val="24"/>
          <w:szCs w:val="24"/>
        </w:rPr>
        <w:t>vents and Corporate gifts?</w:t>
      </w:r>
    </w:p>
    <w:p w14:paraId="34970018" w14:textId="77777777" w:rsidR="00442358" w:rsidRPr="000F2F72" w:rsidRDefault="00442358" w:rsidP="00A03175">
      <w:pPr>
        <w:pStyle w:val="ListParagraph"/>
        <w:spacing w:after="0" w:line="240" w:lineRule="auto"/>
        <w:ind w:left="0"/>
        <w:contextualSpacing w:val="0"/>
        <w:rPr>
          <w:color w:val="0D7AFF"/>
          <w:sz w:val="24"/>
          <w:szCs w:val="24"/>
        </w:rPr>
      </w:pPr>
      <w:r w:rsidRPr="000F2F72">
        <w:rPr>
          <w:color w:val="0D7AFF"/>
          <w:sz w:val="24"/>
          <w:szCs w:val="24"/>
        </w:rPr>
        <w:t xml:space="preserve">A: </w:t>
      </w:r>
      <w:r w:rsidR="004C7568">
        <w:rPr>
          <w:color w:val="0D7AFF"/>
          <w:sz w:val="24"/>
          <w:szCs w:val="24"/>
        </w:rPr>
        <w:t xml:space="preserve">No. </w:t>
      </w:r>
      <w:r w:rsidR="00447CDD" w:rsidRPr="000F2F72">
        <w:rPr>
          <w:color w:val="0D7AFF"/>
          <w:sz w:val="24"/>
          <w:szCs w:val="24"/>
        </w:rPr>
        <w:t xml:space="preserve">ePledge does not show Special Events or Corporate Gifts.  It is strictly for tracking employee pledges.  </w:t>
      </w:r>
    </w:p>
    <w:p w14:paraId="1FEB60A7" w14:textId="77777777" w:rsidR="00A03175" w:rsidRPr="004C7568" w:rsidRDefault="00A03175" w:rsidP="00A03175">
      <w:pPr>
        <w:pStyle w:val="ListParagraph"/>
        <w:spacing w:after="0" w:line="240" w:lineRule="auto"/>
        <w:ind w:left="0"/>
        <w:contextualSpacing w:val="0"/>
        <w:rPr>
          <w:b/>
          <w:sz w:val="24"/>
          <w:szCs w:val="24"/>
        </w:rPr>
      </w:pPr>
      <w:r w:rsidRPr="004C7568">
        <w:rPr>
          <w:b/>
          <w:sz w:val="24"/>
          <w:szCs w:val="24"/>
        </w:rPr>
        <w:t xml:space="preserve">Q: Is there </w:t>
      </w:r>
      <w:r w:rsidR="00217D48">
        <w:rPr>
          <w:b/>
          <w:sz w:val="24"/>
          <w:szCs w:val="24"/>
        </w:rPr>
        <w:t>a minimum gift required</w:t>
      </w:r>
      <w:r w:rsidRPr="004C7568">
        <w:rPr>
          <w:b/>
          <w:sz w:val="24"/>
          <w:szCs w:val="24"/>
        </w:rPr>
        <w:t xml:space="preserve"> in order to use ePledge?</w:t>
      </w:r>
    </w:p>
    <w:p w14:paraId="23E7A888" w14:textId="77777777" w:rsidR="00CC1BFA" w:rsidRPr="000F2F72" w:rsidRDefault="00CC1BFA" w:rsidP="00A03175">
      <w:pPr>
        <w:pStyle w:val="ListParagraph"/>
        <w:spacing w:after="0" w:line="240" w:lineRule="auto"/>
        <w:ind w:left="0"/>
        <w:contextualSpacing w:val="0"/>
        <w:rPr>
          <w:color w:val="00B050"/>
          <w:sz w:val="24"/>
          <w:szCs w:val="24"/>
        </w:rPr>
      </w:pPr>
      <w:r w:rsidRPr="000F2F72">
        <w:rPr>
          <w:color w:val="0D7AFF"/>
          <w:sz w:val="24"/>
          <w:szCs w:val="24"/>
        </w:rPr>
        <w:t>A:</w:t>
      </w:r>
      <w:r w:rsidR="004C7568">
        <w:rPr>
          <w:color w:val="0D7AFF"/>
          <w:sz w:val="24"/>
          <w:szCs w:val="24"/>
        </w:rPr>
        <w:t xml:space="preserve"> At this time, there is no minimum gift requirement.</w:t>
      </w:r>
    </w:p>
    <w:p w14:paraId="09393649" w14:textId="77777777" w:rsidR="00A03175" w:rsidRPr="004C7568" w:rsidRDefault="00A03175" w:rsidP="00A03175">
      <w:pPr>
        <w:pStyle w:val="ListParagraph"/>
        <w:spacing w:after="0" w:line="240" w:lineRule="auto"/>
        <w:ind w:left="0"/>
        <w:contextualSpacing w:val="0"/>
        <w:rPr>
          <w:b/>
          <w:sz w:val="24"/>
          <w:szCs w:val="24"/>
        </w:rPr>
      </w:pPr>
      <w:r w:rsidRPr="004C7568">
        <w:rPr>
          <w:b/>
          <w:sz w:val="24"/>
          <w:szCs w:val="24"/>
        </w:rPr>
        <w:t>Q: What is Quick pledge and why is it beneficial to our campaign?</w:t>
      </w:r>
    </w:p>
    <w:p w14:paraId="72E44FEE" w14:textId="77777777" w:rsidR="00A92C8E" w:rsidRPr="000F2F72" w:rsidRDefault="00A92C8E" w:rsidP="00A03175">
      <w:pPr>
        <w:pStyle w:val="ListParagraph"/>
        <w:spacing w:after="0" w:line="240" w:lineRule="auto"/>
        <w:ind w:left="0"/>
        <w:contextualSpacing w:val="0"/>
        <w:rPr>
          <w:color w:val="0D7AFF"/>
          <w:sz w:val="24"/>
          <w:szCs w:val="24"/>
        </w:rPr>
      </w:pPr>
      <w:r w:rsidRPr="000F2F72">
        <w:rPr>
          <w:color w:val="0D7AFF"/>
          <w:sz w:val="24"/>
          <w:szCs w:val="24"/>
        </w:rPr>
        <w:t xml:space="preserve">A: Quick Pledge is a faster way to make a payroll gift through ePledge.  </w:t>
      </w:r>
      <w:r w:rsidR="00AE50E7">
        <w:rPr>
          <w:color w:val="0D7AFF"/>
          <w:sz w:val="24"/>
          <w:szCs w:val="24"/>
        </w:rPr>
        <w:t>With one click,</w:t>
      </w:r>
      <w:r w:rsidR="009C012B" w:rsidRPr="000F2F72">
        <w:rPr>
          <w:color w:val="0D7AFF"/>
          <w:sz w:val="24"/>
          <w:szCs w:val="24"/>
        </w:rPr>
        <w:t xml:space="preserve"> a donor confirms their </w:t>
      </w:r>
      <w:r w:rsidRPr="000F2F72">
        <w:rPr>
          <w:color w:val="0D7AFF"/>
          <w:sz w:val="24"/>
          <w:szCs w:val="24"/>
        </w:rPr>
        <w:t xml:space="preserve">payroll gift </w:t>
      </w:r>
      <w:r w:rsidR="00AE50E7">
        <w:rPr>
          <w:color w:val="0D7AFF"/>
          <w:sz w:val="24"/>
          <w:szCs w:val="24"/>
        </w:rPr>
        <w:t>at a</w:t>
      </w:r>
      <w:r w:rsidRPr="000F2F72">
        <w:rPr>
          <w:color w:val="0D7AFF"/>
          <w:sz w:val="24"/>
          <w:szCs w:val="24"/>
        </w:rPr>
        <w:t xml:space="preserve"> </w:t>
      </w:r>
      <w:r w:rsidR="004C7568">
        <w:rPr>
          <w:color w:val="0D7AFF"/>
          <w:sz w:val="24"/>
          <w:szCs w:val="24"/>
        </w:rPr>
        <w:t xml:space="preserve">percentage </w:t>
      </w:r>
      <w:r w:rsidRPr="000F2F72">
        <w:rPr>
          <w:color w:val="0D7AFF"/>
          <w:sz w:val="24"/>
          <w:szCs w:val="24"/>
        </w:rPr>
        <w:t xml:space="preserve">increase </w:t>
      </w:r>
      <w:r w:rsidR="004C7568">
        <w:rPr>
          <w:color w:val="0D7AFF"/>
          <w:sz w:val="24"/>
          <w:szCs w:val="24"/>
        </w:rPr>
        <w:t xml:space="preserve">over last year’s gift, or a set amount </w:t>
      </w:r>
      <w:r w:rsidR="00AE50E7">
        <w:rPr>
          <w:color w:val="0D7AFF"/>
          <w:sz w:val="24"/>
          <w:szCs w:val="24"/>
        </w:rPr>
        <w:t xml:space="preserve">per pay period (for new donors). </w:t>
      </w:r>
      <w:r w:rsidR="004C7568">
        <w:rPr>
          <w:color w:val="0D7AFF"/>
          <w:sz w:val="24"/>
          <w:szCs w:val="24"/>
        </w:rPr>
        <w:t xml:space="preserve"> </w:t>
      </w:r>
      <w:r w:rsidR="00AE50E7">
        <w:rPr>
          <w:color w:val="0D7AFF"/>
          <w:sz w:val="24"/>
          <w:szCs w:val="24"/>
        </w:rPr>
        <w:t>This one-click pledge</w:t>
      </w:r>
      <w:r w:rsidR="008457C3" w:rsidRPr="000F2F72">
        <w:rPr>
          <w:color w:val="0D7AFF"/>
          <w:sz w:val="24"/>
          <w:szCs w:val="24"/>
        </w:rPr>
        <w:t xml:space="preserve"> secures</w:t>
      </w:r>
      <w:r w:rsidRPr="000F2F72">
        <w:rPr>
          <w:color w:val="0D7AFF"/>
          <w:sz w:val="24"/>
          <w:szCs w:val="24"/>
        </w:rPr>
        <w:t xml:space="preserve"> </w:t>
      </w:r>
      <w:r w:rsidR="004C7568">
        <w:rPr>
          <w:color w:val="0D7AFF"/>
          <w:sz w:val="24"/>
          <w:szCs w:val="24"/>
        </w:rPr>
        <w:t xml:space="preserve">a gift </w:t>
      </w:r>
      <w:r w:rsidR="00AE50E7">
        <w:rPr>
          <w:color w:val="0D7AFF"/>
          <w:sz w:val="24"/>
          <w:szCs w:val="24"/>
        </w:rPr>
        <w:t xml:space="preserve">with a built-in increase  for gifts designated to the United Way Community Fund. </w:t>
      </w:r>
    </w:p>
    <w:p w14:paraId="3BDB4D41" w14:textId="77777777" w:rsidR="00EC3986" w:rsidRPr="000F2F72" w:rsidRDefault="00EC3986" w:rsidP="0037090D">
      <w:pPr>
        <w:rPr>
          <w:rFonts w:ascii="Calibri" w:hAnsi="Calibri"/>
          <w:color w:val="00B050"/>
        </w:rPr>
      </w:pPr>
    </w:p>
    <w:sectPr w:rsidR="00EC3986" w:rsidRPr="000F2F72" w:rsidSect="00912BC9">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B46E1" w14:textId="77777777" w:rsidR="007D51C8" w:rsidRDefault="007D51C8" w:rsidP="00170232">
      <w:r>
        <w:separator/>
      </w:r>
    </w:p>
  </w:endnote>
  <w:endnote w:type="continuationSeparator" w:id="0">
    <w:p w14:paraId="4D6D6431" w14:textId="77777777" w:rsidR="007D51C8" w:rsidRDefault="007D51C8" w:rsidP="0017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D3D2" w14:textId="77777777" w:rsidR="00ED3398" w:rsidRDefault="00ED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E1C5" w14:textId="30FAB6DA" w:rsidR="00170232" w:rsidRPr="005827C4" w:rsidRDefault="005827C4" w:rsidP="005827C4">
    <w:pPr>
      <w:pStyle w:val="Footer"/>
    </w:pPr>
    <w:r w:rsidRPr="005827C4">
      <w:t xml:space="preserve">P:\RESOURCE DEVELOPMENT\2020 Resource Development\2020 </w:t>
    </w:r>
    <w:proofErr w:type="spellStart"/>
    <w:r w:rsidRPr="005827C4">
      <w:t>ePledge</w:t>
    </w:r>
    <w:proofErr w:type="spellEnd"/>
    <w:r w:rsidRPr="005827C4">
      <w:t>\</w:t>
    </w:r>
    <w:proofErr w:type="spellStart"/>
    <w:r w:rsidRPr="005827C4">
      <w:t>Epledge</w:t>
    </w:r>
    <w:proofErr w:type="spellEnd"/>
    <w:r w:rsidRPr="005827C4">
      <w:t xml:space="preserve"> Administrator Reports for CM 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83EF" w14:textId="77777777" w:rsidR="00ED3398" w:rsidRDefault="00ED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90C0" w14:textId="77777777" w:rsidR="007D51C8" w:rsidRDefault="007D51C8" w:rsidP="00170232">
      <w:r>
        <w:separator/>
      </w:r>
    </w:p>
  </w:footnote>
  <w:footnote w:type="continuationSeparator" w:id="0">
    <w:p w14:paraId="3B784384" w14:textId="77777777" w:rsidR="007D51C8" w:rsidRDefault="007D51C8" w:rsidP="0017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1492" w14:textId="77777777" w:rsidR="00ED3398" w:rsidRDefault="00ED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EA50" w14:textId="77777777" w:rsidR="00ED3398" w:rsidRDefault="00ED3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014B" w14:textId="77777777" w:rsidR="00ED3398" w:rsidRDefault="00ED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077"/>
    <w:multiLevelType w:val="hybridMultilevel"/>
    <w:tmpl w:val="23A6FB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A84F82"/>
    <w:multiLevelType w:val="hybridMultilevel"/>
    <w:tmpl w:val="4204EDFC"/>
    <w:lvl w:ilvl="0" w:tplc="B31E1594">
      <w:start w:val="5"/>
      <w:numFmt w:val="bullet"/>
      <w:lvlText w:val="-"/>
      <w:lvlJc w:val="left"/>
      <w:pPr>
        <w:tabs>
          <w:tab w:val="num" w:pos="720"/>
        </w:tabs>
        <w:ind w:left="720" w:hanging="360"/>
      </w:pPr>
      <w:rPr>
        <w:rFonts w:ascii="TradeGothic-Light" w:eastAsia="Times New Roman" w:hAnsi="TradeGothic-Light" w:cs="TradeGothic-Ligh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37C43"/>
    <w:multiLevelType w:val="hybridMultilevel"/>
    <w:tmpl w:val="DF76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43FA8"/>
    <w:multiLevelType w:val="hybridMultilevel"/>
    <w:tmpl w:val="B36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16C0"/>
    <w:multiLevelType w:val="hybridMultilevel"/>
    <w:tmpl w:val="12CC5CD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8A2F47"/>
    <w:multiLevelType w:val="hybridMultilevel"/>
    <w:tmpl w:val="EB62A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31C06"/>
    <w:multiLevelType w:val="hybridMultilevel"/>
    <w:tmpl w:val="A0D8E6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756A8E"/>
    <w:multiLevelType w:val="hybridMultilevel"/>
    <w:tmpl w:val="363E6B22"/>
    <w:lvl w:ilvl="0" w:tplc="FB741C7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31E2F"/>
    <w:multiLevelType w:val="hybridMultilevel"/>
    <w:tmpl w:val="693449E6"/>
    <w:lvl w:ilvl="0" w:tplc="0409000F">
      <w:start w:val="1"/>
      <w:numFmt w:val="decimal"/>
      <w:lvlText w:val="%1."/>
      <w:lvlJc w:val="left"/>
      <w:pPr>
        <w:tabs>
          <w:tab w:val="num" w:pos="720"/>
        </w:tabs>
        <w:ind w:left="720" w:hanging="360"/>
      </w:pPr>
      <w:rPr>
        <w:rFonts w:hint="default"/>
      </w:rPr>
    </w:lvl>
    <w:lvl w:ilvl="1" w:tplc="FB741C7A">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06FA9"/>
    <w:multiLevelType w:val="hybridMultilevel"/>
    <w:tmpl w:val="956E3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B795F"/>
    <w:multiLevelType w:val="hybridMultilevel"/>
    <w:tmpl w:val="FCDA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75A1D"/>
    <w:multiLevelType w:val="hybridMultilevel"/>
    <w:tmpl w:val="CE0C47EA"/>
    <w:lvl w:ilvl="0" w:tplc="FB741C7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F1883"/>
    <w:multiLevelType w:val="hybridMultilevel"/>
    <w:tmpl w:val="FE92B69E"/>
    <w:lvl w:ilvl="0" w:tplc="FB741C7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860FA"/>
    <w:multiLevelType w:val="hybridMultilevel"/>
    <w:tmpl w:val="40485F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B338D"/>
    <w:multiLevelType w:val="hybridMultilevel"/>
    <w:tmpl w:val="DF36B4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E36E1"/>
    <w:multiLevelType w:val="hybridMultilevel"/>
    <w:tmpl w:val="2C7630B2"/>
    <w:lvl w:ilvl="0" w:tplc="FB741C7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A753A"/>
    <w:multiLevelType w:val="hybridMultilevel"/>
    <w:tmpl w:val="EE8874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47E6C"/>
    <w:multiLevelType w:val="hybridMultilevel"/>
    <w:tmpl w:val="D9D8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A55599A"/>
    <w:multiLevelType w:val="hybridMultilevel"/>
    <w:tmpl w:val="79BA74BA"/>
    <w:lvl w:ilvl="0" w:tplc="FB741C7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6"/>
  </w:num>
  <w:num w:numId="6">
    <w:abstractNumId w:val="18"/>
  </w:num>
  <w:num w:numId="7">
    <w:abstractNumId w:val="7"/>
  </w:num>
  <w:num w:numId="8">
    <w:abstractNumId w:val="12"/>
  </w:num>
  <w:num w:numId="9">
    <w:abstractNumId w:val="15"/>
  </w:num>
  <w:num w:numId="10">
    <w:abstractNumId w:val="8"/>
  </w:num>
  <w:num w:numId="11">
    <w:abstractNumId w:val="9"/>
  </w:num>
  <w:num w:numId="12">
    <w:abstractNumId w:val="14"/>
  </w:num>
  <w:num w:numId="13">
    <w:abstractNumId w:val="16"/>
  </w:num>
  <w:num w:numId="14">
    <w:abstractNumId w:val="13"/>
  </w:num>
  <w:num w:numId="15">
    <w:abstractNumId w:val="10"/>
  </w:num>
  <w:num w:numId="16">
    <w:abstractNumId w:val="2"/>
  </w:num>
  <w:num w:numId="17">
    <w:abstractNumId w:val="3"/>
  </w:num>
  <w:num w:numId="18">
    <w:abstractNumId w:val="17"/>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8B"/>
    <w:rsid w:val="00001EE2"/>
    <w:rsid w:val="000162C2"/>
    <w:rsid w:val="00032884"/>
    <w:rsid w:val="00044226"/>
    <w:rsid w:val="00075769"/>
    <w:rsid w:val="000E6B11"/>
    <w:rsid w:val="000F2F72"/>
    <w:rsid w:val="000F7CBB"/>
    <w:rsid w:val="001133CF"/>
    <w:rsid w:val="001176DB"/>
    <w:rsid w:val="00155A13"/>
    <w:rsid w:val="0016068D"/>
    <w:rsid w:val="00163367"/>
    <w:rsid w:val="00170232"/>
    <w:rsid w:val="0019218E"/>
    <w:rsid w:val="001B1136"/>
    <w:rsid w:val="001C0BB8"/>
    <w:rsid w:val="00217D48"/>
    <w:rsid w:val="00236821"/>
    <w:rsid w:val="002654D2"/>
    <w:rsid w:val="0028707B"/>
    <w:rsid w:val="002E7628"/>
    <w:rsid w:val="003240EB"/>
    <w:rsid w:val="003445B4"/>
    <w:rsid w:val="0037090D"/>
    <w:rsid w:val="00384508"/>
    <w:rsid w:val="003A0733"/>
    <w:rsid w:val="003B2A7E"/>
    <w:rsid w:val="003C1324"/>
    <w:rsid w:val="003C18C7"/>
    <w:rsid w:val="003C40DD"/>
    <w:rsid w:val="003D0C21"/>
    <w:rsid w:val="003D3079"/>
    <w:rsid w:val="003D53F9"/>
    <w:rsid w:val="003E45D7"/>
    <w:rsid w:val="0041114A"/>
    <w:rsid w:val="004127AC"/>
    <w:rsid w:val="004333F8"/>
    <w:rsid w:val="00442358"/>
    <w:rsid w:val="00447CDD"/>
    <w:rsid w:val="00480D44"/>
    <w:rsid w:val="004826D9"/>
    <w:rsid w:val="004954D4"/>
    <w:rsid w:val="004C4BAC"/>
    <w:rsid w:val="004C7568"/>
    <w:rsid w:val="004D4865"/>
    <w:rsid w:val="004E0BA9"/>
    <w:rsid w:val="00515EDF"/>
    <w:rsid w:val="005233D7"/>
    <w:rsid w:val="00530AFF"/>
    <w:rsid w:val="00561A5F"/>
    <w:rsid w:val="00566DF4"/>
    <w:rsid w:val="005827C4"/>
    <w:rsid w:val="005E37E3"/>
    <w:rsid w:val="006323C1"/>
    <w:rsid w:val="00636D79"/>
    <w:rsid w:val="0064369E"/>
    <w:rsid w:val="006612AF"/>
    <w:rsid w:val="00662000"/>
    <w:rsid w:val="00664744"/>
    <w:rsid w:val="007247D5"/>
    <w:rsid w:val="00776B57"/>
    <w:rsid w:val="00780FED"/>
    <w:rsid w:val="007A424D"/>
    <w:rsid w:val="007B4226"/>
    <w:rsid w:val="007C4A2F"/>
    <w:rsid w:val="007D51C8"/>
    <w:rsid w:val="007F4BB7"/>
    <w:rsid w:val="008349D2"/>
    <w:rsid w:val="008457C3"/>
    <w:rsid w:val="0086532D"/>
    <w:rsid w:val="008D4E88"/>
    <w:rsid w:val="008E190F"/>
    <w:rsid w:val="00901677"/>
    <w:rsid w:val="00912BC9"/>
    <w:rsid w:val="0091540E"/>
    <w:rsid w:val="0095446F"/>
    <w:rsid w:val="00956263"/>
    <w:rsid w:val="00963872"/>
    <w:rsid w:val="00967CC5"/>
    <w:rsid w:val="0097629D"/>
    <w:rsid w:val="00985D47"/>
    <w:rsid w:val="00987B38"/>
    <w:rsid w:val="0099048B"/>
    <w:rsid w:val="00994393"/>
    <w:rsid w:val="009A77B7"/>
    <w:rsid w:val="009C012B"/>
    <w:rsid w:val="009E7CEB"/>
    <w:rsid w:val="00A03175"/>
    <w:rsid w:val="00A34BD3"/>
    <w:rsid w:val="00A35E91"/>
    <w:rsid w:val="00A374E3"/>
    <w:rsid w:val="00A40303"/>
    <w:rsid w:val="00A62DB5"/>
    <w:rsid w:val="00A92C8E"/>
    <w:rsid w:val="00AE50E7"/>
    <w:rsid w:val="00AE7D9C"/>
    <w:rsid w:val="00B1438B"/>
    <w:rsid w:val="00B303B9"/>
    <w:rsid w:val="00B460F1"/>
    <w:rsid w:val="00B55BB0"/>
    <w:rsid w:val="00B73E1F"/>
    <w:rsid w:val="00BF184C"/>
    <w:rsid w:val="00BF7424"/>
    <w:rsid w:val="00C03323"/>
    <w:rsid w:val="00C43DCD"/>
    <w:rsid w:val="00C43EE4"/>
    <w:rsid w:val="00C52715"/>
    <w:rsid w:val="00C52B09"/>
    <w:rsid w:val="00C56A66"/>
    <w:rsid w:val="00C63F19"/>
    <w:rsid w:val="00CC1BFA"/>
    <w:rsid w:val="00CE0FB0"/>
    <w:rsid w:val="00D04566"/>
    <w:rsid w:val="00D07F9D"/>
    <w:rsid w:val="00D3603E"/>
    <w:rsid w:val="00D45012"/>
    <w:rsid w:val="00D50900"/>
    <w:rsid w:val="00D60C1F"/>
    <w:rsid w:val="00D859F0"/>
    <w:rsid w:val="00DB2A79"/>
    <w:rsid w:val="00DC5599"/>
    <w:rsid w:val="00DE424B"/>
    <w:rsid w:val="00DE5213"/>
    <w:rsid w:val="00E11DC1"/>
    <w:rsid w:val="00E178B9"/>
    <w:rsid w:val="00E203BC"/>
    <w:rsid w:val="00E41B20"/>
    <w:rsid w:val="00E54C84"/>
    <w:rsid w:val="00E66232"/>
    <w:rsid w:val="00E75431"/>
    <w:rsid w:val="00EB23BE"/>
    <w:rsid w:val="00EC3986"/>
    <w:rsid w:val="00EC56BE"/>
    <w:rsid w:val="00ED3398"/>
    <w:rsid w:val="00EF69F2"/>
    <w:rsid w:val="00F4467A"/>
    <w:rsid w:val="00F63F97"/>
    <w:rsid w:val="00F81D1D"/>
    <w:rsid w:val="00F9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A532B"/>
  <w15:chartTrackingRefBased/>
  <w15:docId w15:val="{3B33F24C-F289-4B61-B762-EF0FDC30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F7CBB"/>
    <w:rPr>
      <w:rFonts w:ascii="Tahoma" w:hAnsi="Tahoma" w:cs="Tahoma"/>
      <w:sz w:val="16"/>
      <w:szCs w:val="16"/>
    </w:rPr>
  </w:style>
  <w:style w:type="character" w:customStyle="1" w:styleId="BalloonTextChar">
    <w:name w:val="Balloon Text Char"/>
    <w:link w:val="BalloonText"/>
    <w:rsid w:val="000F7CBB"/>
    <w:rPr>
      <w:rFonts w:ascii="Tahoma" w:hAnsi="Tahoma" w:cs="Tahoma"/>
      <w:sz w:val="16"/>
      <w:szCs w:val="16"/>
    </w:rPr>
  </w:style>
  <w:style w:type="paragraph" w:styleId="Header">
    <w:name w:val="header"/>
    <w:basedOn w:val="Normal"/>
    <w:link w:val="HeaderChar"/>
    <w:rsid w:val="00170232"/>
    <w:pPr>
      <w:tabs>
        <w:tab w:val="center" w:pos="4680"/>
        <w:tab w:val="right" w:pos="9360"/>
      </w:tabs>
    </w:pPr>
  </w:style>
  <w:style w:type="character" w:customStyle="1" w:styleId="HeaderChar">
    <w:name w:val="Header Char"/>
    <w:link w:val="Header"/>
    <w:rsid w:val="00170232"/>
    <w:rPr>
      <w:sz w:val="24"/>
      <w:szCs w:val="24"/>
    </w:rPr>
  </w:style>
  <w:style w:type="paragraph" w:styleId="Footer">
    <w:name w:val="footer"/>
    <w:basedOn w:val="Normal"/>
    <w:link w:val="FooterChar"/>
    <w:rsid w:val="00170232"/>
    <w:pPr>
      <w:tabs>
        <w:tab w:val="center" w:pos="4680"/>
        <w:tab w:val="right" w:pos="9360"/>
      </w:tabs>
    </w:pPr>
  </w:style>
  <w:style w:type="character" w:customStyle="1" w:styleId="FooterChar">
    <w:name w:val="Footer Char"/>
    <w:link w:val="Footer"/>
    <w:rsid w:val="00170232"/>
    <w:rPr>
      <w:sz w:val="24"/>
      <w:szCs w:val="24"/>
    </w:rPr>
  </w:style>
  <w:style w:type="character" w:styleId="Hyperlink">
    <w:name w:val="Hyperlink"/>
    <w:rsid w:val="00F63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1236">
      <w:bodyDiv w:val="1"/>
      <w:marLeft w:val="0"/>
      <w:marRight w:val="0"/>
      <w:marTop w:val="0"/>
      <w:marBottom w:val="0"/>
      <w:divBdr>
        <w:top w:val="none" w:sz="0" w:space="0" w:color="auto"/>
        <w:left w:val="none" w:sz="0" w:space="0" w:color="auto"/>
        <w:bottom w:val="none" w:sz="0" w:space="0" w:color="auto"/>
        <w:right w:val="none" w:sz="0" w:space="0" w:color="auto"/>
      </w:divBdr>
    </w:div>
    <w:div w:id="5251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nor.services@unitedwaytoledo.org"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BA28B-4213-4620-AE68-156F9F8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E-Pledge Campaign Reference</vt:lpstr>
    </vt:vector>
  </TitlesOfParts>
  <Company>UPIC Solutions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E-Pledge Campaign Reference</dc:title>
  <dc:subject/>
  <dc:creator>bgebauer</dc:creator>
  <cp:keywords/>
  <cp:lastModifiedBy>Brenda Kuhr</cp:lastModifiedBy>
  <cp:revision>3</cp:revision>
  <cp:lastPrinted>2017-06-13T17:58:00Z</cp:lastPrinted>
  <dcterms:created xsi:type="dcterms:W3CDTF">2020-06-29T18:24:00Z</dcterms:created>
  <dcterms:modified xsi:type="dcterms:W3CDTF">2020-06-29T18:24:00Z</dcterms:modified>
</cp:coreProperties>
</file>